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</w:p>
    <w:tbl>
      <w:tblPr>
        <w:tblStyle w:val="11"/>
        <w:tblW w:w="0" w:type="auto"/>
        <w:tblInd w:w="55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2983"/>
        <w:gridCol w:w="4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0"/>
                <w:szCs w:val="30"/>
              </w:rPr>
              <w:t>统一社会信用代码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3"/>
                <w:rFonts w:hint="default" w:ascii="Times New Roman" w:hAnsi="Times New Roman" w:eastAsia="楷体_GB2312" w:cs="Times New Roman"/>
                <w:b/>
                <w:bCs/>
                <w:sz w:val="30"/>
                <w:szCs w:val="30"/>
              </w:rPr>
              <w:t>12500104450426818D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</w:tr>
    </w:tbl>
    <w:p>
      <w:pPr>
        <w:jc w:val="righ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righ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righ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righ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Style w:val="24"/>
          <w:rFonts w:hint="eastAsia" w:ascii="黑体" w:hAnsi="宋体" w:eastAsia="黑体" w:cs="黑体"/>
          <w:b/>
          <w:bCs/>
          <w:spacing w:val="40"/>
          <w:sz w:val="52"/>
          <w:szCs w:val="52"/>
        </w:rPr>
        <w:t>事业单位法人年度报告书</w:t>
      </w:r>
    </w:p>
    <w:p>
      <w:pPr>
        <w:jc w:val="center"/>
        <w:rPr>
          <w:rFonts w:hint="default" w:ascii="Times New Roman" w:hAnsi="Times New Roman" w:eastAsia="黑体" w:cs="Times New Roman"/>
          <w:b/>
          <w:bCs/>
          <w:spacing w:val="30"/>
          <w:kern w:val="2"/>
          <w:sz w:val="21"/>
          <w:szCs w:val="21"/>
        </w:rPr>
      </w:pPr>
      <w:r>
        <w:rPr>
          <w:rFonts w:hint="default" w:ascii="Times New Roman" w:hAnsi="Times New Roman" w:eastAsia="黑体" w:cs="Times New Roman"/>
          <w:b/>
          <w:bCs/>
          <w:spacing w:val="30"/>
          <w:kern w:val="2"/>
          <w:sz w:val="21"/>
          <w:szCs w:val="21"/>
        </w:rPr>
        <w:t xml:space="preserve"> </w:t>
      </w:r>
    </w:p>
    <w:tbl>
      <w:tblPr>
        <w:tblStyle w:val="11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814"/>
        <w:gridCol w:w="14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0"/>
                <w:szCs w:val="30"/>
              </w:rPr>
              <w:t>（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rPr>
                <w:rFonts w:hint="default" w:ascii="宋体" w:hAnsi="Times New Roman" w:eastAsia="楷体_GB2312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    </w:t>
            </w:r>
            <w:r>
              <w:rPr>
                <w:rStyle w:val="20"/>
                <w:rFonts w:hint="default" w:ascii="Times New Roman" w:hAnsi="Times New Roman" w:eastAsia="楷体_GB2312" w:cs="Times New Roman"/>
                <w:b/>
                <w:bCs/>
                <w:sz w:val="30"/>
                <w:szCs w:val="30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3"/>
                <w:rFonts w:hint="default" w:ascii="楷体_GB2312" w:hAnsi="Times New Roman" w:eastAsia="楷体_GB2312" w:cs="楷体_GB2312"/>
                <w:b/>
                <w:bCs/>
                <w:sz w:val="30"/>
                <w:szCs w:val="30"/>
              </w:rPr>
              <w:t>）年度</w:t>
            </w: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/>
          <w:bCs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1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</w:rPr>
        <w:t xml:space="preserve"> </w:t>
      </w:r>
    </w:p>
    <w:tbl>
      <w:tblPr>
        <w:tblStyle w:val="11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2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distribute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3"/>
                <w:rFonts w:hint="eastAsia" w:ascii="黑体" w:hAnsi="宋体" w:eastAsia="黑体" w:cs="黑体"/>
                <w:b/>
                <w:bCs/>
                <w:sz w:val="36"/>
                <w:szCs w:val="36"/>
              </w:rPr>
              <w:t>单 位 名 称</w:t>
            </w:r>
          </w:p>
        </w:tc>
        <w:tc>
          <w:tcPr>
            <w:tcW w:w="529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sz w:val="32"/>
                <w:szCs w:val="32"/>
              </w:rPr>
              <w:t>重庆市大渡口区育才小学</w:t>
            </w:r>
          </w:p>
        </w:tc>
      </w:tr>
    </w:tbl>
    <w:p>
      <w:pPr>
        <w:rPr>
          <w:rFonts w:hint="eastAsia" w:ascii="黑体" w:hAnsi="宋体" w:eastAsia="黑体" w:cs="黑体"/>
          <w:b/>
          <w:bCs/>
          <w:kern w:val="2"/>
          <w:sz w:val="24"/>
          <w:szCs w:val="24"/>
          <w:u w:val="single"/>
        </w:rPr>
      </w:pPr>
      <w:r>
        <w:rPr>
          <w:rFonts w:hint="eastAsia" w:ascii="黑体" w:hAnsi="宋体" w:eastAsia="黑体" w:cs="黑体"/>
          <w:b/>
          <w:bCs/>
          <w:kern w:val="2"/>
          <w:sz w:val="24"/>
          <w:szCs w:val="24"/>
          <w:u w:val="single"/>
        </w:rPr>
        <w:t xml:space="preserve"> </w:t>
      </w:r>
    </w:p>
    <w:tbl>
      <w:tblPr>
        <w:tblStyle w:val="11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5"/>
        <w:gridCol w:w="52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distribute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13"/>
                <w:rFonts w:hint="eastAsia" w:ascii="黑体" w:hAnsi="宋体" w:eastAsia="黑体" w:cs="黑体"/>
                <w:b/>
                <w:bCs/>
                <w:sz w:val="36"/>
                <w:szCs w:val="36"/>
              </w:rPr>
              <w:t>法</w:t>
            </w:r>
            <w:r>
              <w:rPr>
                <w:rStyle w:val="13"/>
                <w:rFonts w:hint="eastAsia" w:ascii="黑体" w:hAnsi="宋体" w:eastAsia="黑体" w:cs="黑体"/>
                <w:b/>
                <w:bCs/>
                <w:spacing w:val="30"/>
                <w:sz w:val="36"/>
                <w:szCs w:val="36"/>
              </w:rPr>
              <w:t>定代表</w:t>
            </w:r>
            <w:r>
              <w:rPr>
                <w:rStyle w:val="13"/>
                <w:rFonts w:hint="eastAsia" w:ascii="黑体" w:hAnsi="宋体" w:eastAsia="黑体" w:cs="黑体"/>
                <w:b/>
                <w:bCs/>
                <w:sz w:val="36"/>
                <w:szCs w:val="36"/>
              </w:rPr>
              <w:t>人</w:t>
            </w:r>
          </w:p>
        </w:tc>
        <w:tc>
          <w:tcPr>
            <w:tcW w:w="525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</w:tr>
    </w:tbl>
    <w:p>
      <w:pPr>
        <w:ind w:left="0" w:firstLine="723" w:firstLineChars="300"/>
        <w:rPr>
          <w:rFonts w:hint="eastAsia" w:ascii="黑体" w:hAnsi="宋体" w:eastAsia="黑体" w:cs="黑体"/>
          <w:b/>
          <w:bCs/>
          <w:kern w:val="2"/>
          <w:sz w:val="24"/>
          <w:szCs w:val="24"/>
          <w:u w:val="single"/>
        </w:rPr>
      </w:pPr>
      <w:r>
        <w:rPr>
          <w:rFonts w:hint="eastAsia" w:ascii="黑体" w:hAnsi="宋体" w:eastAsia="黑体" w:cs="黑体"/>
          <w:b/>
          <w:bCs/>
          <w:kern w:val="2"/>
          <w:sz w:val="24"/>
          <w:szCs w:val="24"/>
          <w:u w:val="single"/>
        </w:rPr>
        <w:t xml:space="preserve"> </w:t>
      </w:r>
    </w:p>
    <w:tbl>
      <w:tblPr>
        <w:tblStyle w:val="11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2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5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Style w:val="26"/>
          <w:rFonts w:hint="default" w:ascii="楷体_GB2312" w:hAnsi="Times New Roman" w:eastAsia="楷体_GB2312" w:cs="楷体_GB2312"/>
          <w:b/>
          <w:bCs/>
          <w:sz w:val="32"/>
          <w:szCs w:val="32"/>
        </w:rPr>
        <w:t>国家事业单位登记管理局制</w:t>
      </w:r>
    </w:p>
    <w:p>
      <w:pP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</w:rPr>
        <w:t xml:space="preserve"> </w:t>
      </w:r>
    </w:p>
    <w:tbl>
      <w:tblPr>
        <w:tblStyle w:val="11"/>
        <w:tblW w:w="1074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2515"/>
        <w:gridCol w:w="1670"/>
        <w:gridCol w:w="2140"/>
        <w:gridCol w:w="211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230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《事业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单位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法人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证书》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登载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事项</w:t>
            </w:r>
          </w:p>
        </w:tc>
        <w:tc>
          <w:tcPr>
            <w:tcW w:w="251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单位名称</w:t>
            </w:r>
          </w:p>
        </w:tc>
        <w:tc>
          <w:tcPr>
            <w:tcW w:w="5925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2"/>
                <w:sz w:val="32"/>
                <w:szCs w:val="32"/>
              </w:rPr>
              <w:t>重庆市大渡口区育才小学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宗</w:t>
            </w:r>
            <w:r>
              <w:rPr>
                <w:rStyle w:val="26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旨</w:t>
            </w:r>
            <w:r>
              <w:rPr>
                <w:rStyle w:val="26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和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业务范围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楷体_GB2312" w:cs="楷体_GB2312"/>
                <w:kern w:val="2"/>
                <w:sz w:val="28"/>
                <w:szCs w:val="28"/>
              </w:rPr>
            </w:pPr>
            <w:r>
              <w:rPr>
                <w:rStyle w:val="16"/>
                <w:rFonts w:hint="default" w:ascii="楷体_GB2312" w:hAnsi="Times New Roman" w:eastAsia="楷体_GB2312" w:cs="楷体_GB2312"/>
                <w:sz w:val="28"/>
                <w:szCs w:val="28"/>
              </w:rPr>
              <w:t>贯彻党的教育方针，教书育人。</w:t>
            </w:r>
          </w:p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Style w:val="16"/>
                <w:rFonts w:hint="default" w:ascii="楷体_GB2312" w:hAnsi="Times New Roman" w:eastAsia="楷体_GB2312" w:cs="楷体_GB2312"/>
                <w:sz w:val="28"/>
                <w:szCs w:val="28"/>
              </w:rPr>
              <w:t>小学教学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住</w:t>
            </w:r>
            <w:r>
              <w:rPr>
                <w:rStyle w:val="26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Style w:val="26"/>
                <w:rFonts w:hint="default" w:ascii="Times New Roman" w:hAnsi="Times New Roman" w:eastAsia="楷体_GB2312" w:cs="Times New Roman"/>
                <w:b/>
                <w:bCs/>
                <w:sz w:val="32"/>
                <w:szCs w:val="32"/>
              </w:rPr>
              <w:t xml:space="preserve">   </w:t>
            </w: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所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Style w:val="16"/>
                <w:rFonts w:hint="default" w:ascii="楷体_GB2312" w:hAnsi="Times New Roman" w:eastAsia="楷体_GB2312" w:cs="楷体_GB2312"/>
                <w:sz w:val="28"/>
                <w:szCs w:val="28"/>
              </w:rPr>
              <w:t>重庆市大渡口区钢花路</w:t>
            </w:r>
            <w:r>
              <w:rPr>
                <w:rStyle w:val="16"/>
                <w:rFonts w:hint="default" w:ascii="Times New Roman" w:hAnsi="Times New Roman" w:eastAsia="楷体_GB2312" w:cs="Times New Roman"/>
                <w:sz w:val="28"/>
                <w:szCs w:val="28"/>
              </w:rPr>
              <w:t>18</w:t>
            </w:r>
            <w:r>
              <w:rPr>
                <w:rStyle w:val="16"/>
                <w:rFonts w:hint="default" w:ascii="楷体_GB2312" w:hAnsi="Times New Roman" w:eastAsia="楷体_GB2312" w:cs="楷体_GB2312"/>
                <w:sz w:val="28"/>
                <w:szCs w:val="28"/>
              </w:rPr>
              <w:t>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法定代表人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Style w:val="16"/>
                <w:rFonts w:hint="default" w:ascii="楷体_GB2312" w:hAnsi="Times New Roman" w:eastAsia="楷体_GB2312" w:cs="楷体_GB2312"/>
                <w:sz w:val="28"/>
                <w:szCs w:val="28"/>
              </w:rPr>
              <w:t>毛世伟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开办资金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Times New Roman" w:hAnsi="Times New Roman" w:eastAsia="楷体_GB2312" w:cs="Times New Roman"/>
                <w:sz w:val="32"/>
                <w:szCs w:val="32"/>
              </w:rPr>
              <w:t>      446    </w:t>
            </w:r>
            <w:r>
              <w:rPr>
                <w:rStyle w:val="26"/>
                <w:rFonts w:hint="default" w:ascii="楷体_GB2312" w:hAnsi="Times New Roman" w:eastAsia="楷体_GB2312" w:cs="楷体_GB2312"/>
                <w:sz w:val="32"/>
                <w:szCs w:val="32"/>
              </w:rPr>
              <w:t>万元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经费来源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Style w:val="16"/>
                <w:rFonts w:hint="default" w:ascii="楷体_GB2312" w:hAnsi="Times New Roman" w:eastAsia="楷体_GB2312" w:cs="楷体_GB2312"/>
                <w:sz w:val="28"/>
                <w:szCs w:val="28"/>
              </w:rPr>
              <w:t>财政补助</w:t>
            </w:r>
            <w:r>
              <w:rPr>
                <w:rStyle w:val="16"/>
                <w:rFonts w:hint="default" w:ascii="Times New Roman" w:hAnsi="Times New Roman" w:eastAsia="楷体_GB2312" w:cs="Times New Roman"/>
                <w:sz w:val="28"/>
                <w:szCs w:val="28"/>
              </w:rPr>
              <w:t xml:space="preserve"> </w:t>
            </w:r>
            <w:r>
              <w:rPr>
                <w:rStyle w:val="16"/>
                <w:rFonts w:hint="default" w:ascii="楷体_GB2312" w:hAnsi="Times New Roman" w:eastAsia="楷体_GB2312" w:cs="楷体_GB2312"/>
                <w:sz w:val="28"/>
                <w:szCs w:val="28"/>
              </w:rPr>
              <w:t>（全额拨款）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举办单位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Style w:val="16"/>
                <w:rFonts w:hint="default" w:ascii="楷体_GB2312" w:hAnsi="Times New Roman" w:eastAsia="楷体_GB2312" w:cs="楷体_GB2312"/>
                <w:sz w:val="28"/>
                <w:szCs w:val="28"/>
              </w:rPr>
              <w:t>重庆市大渡口区教育委员会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300" w:type="dxa"/>
            <w:vMerge w:val="restart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资产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损益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情况</w:t>
            </w:r>
          </w:p>
        </w:tc>
        <w:tc>
          <w:tcPr>
            <w:tcW w:w="84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净资产合计（所有者权益合计）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300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年初数（万元）</w:t>
            </w:r>
          </w:p>
        </w:tc>
        <w:tc>
          <w:tcPr>
            <w:tcW w:w="4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年末数（万元）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300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</w:rPr>
              <w:t>5316.16</w:t>
            </w:r>
          </w:p>
        </w:tc>
        <w:tc>
          <w:tcPr>
            <w:tcW w:w="4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</w:rPr>
              <w:t>4936.32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网上名称</w:t>
            </w:r>
          </w:p>
        </w:tc>
        <w:tc>
          <w:tcPr>
            <w:tcW w:w="4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2"/>
                <w:sz w:val="32"/>
                <w:szCs w:val="32"/>
              </w:rPr>
              <w:t>重庆市大渡口区育才小学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从业人数</w:t>
            </w:r>
          </w:p>
        </w:tc>
        <w:tc>
          <w:tcPr>
            <w:tcW w:w="2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</w:rPr>
              <w:t>196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5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对《条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例》和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实施细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则有关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变更登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记规定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的执行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情</w:t>
            </w:r>
            <w:r>
              <w:rPr>
                <w:rStyle w:val="26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况</w:t>
            </w:r>
          </w:p>
        </w:tc>
        <w:tc>
          <w:tcPr>
            <w:tcW w:w="8440" w:type="dxa"/>
            <w:gridSpan w:val="4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  <w:shd w:val="clear" w:color="auto" w:fill="auto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Style w:val="15"/>
                <w:rFonts w:hint="default" w:ascii="楷体_GB2312" w:hAnsi="Times New Roman" w:eastAsia="楷体_GB2312" w:cs="楷体_GB2312"/>
                <w:sz w:val="28"/>
                <w:szCs w:val="28"/>
              </w:rPr>
              <w:t>我单位今年以来登记事项未发生变化。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9" w:hRule="atLeast"/>
          <w:jc w:val="center"/>
        </w:trPr>
        <w:tc>
          <w:tcPr>
            <w:tcW w:w="230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开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展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业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务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活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动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情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况</w:t>
            </w:r>
          </w:p>
        </w:tc>
        <w:tc>
          <w:tcPr>
            <w:tcW w:w="8440" w:type="dxa"/>
            <w:gridSpan w:val="4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20" w:firstLineChars="200"/>
              <w:textAlignment w:val="auto"/>
              <w:rPr>
                <w:rFonts w:hint="eastAsia" w:ascii="宋体" w:hAnsi="宋体" w:eastAsia="宋体" w:cs="宋体"/>
                <w:kern w:val="0"/>
                <w:sz w:val="11"/>
                <w:szCs w:val="1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20" w:firstLineChars="200"/>
              <w:textAlignment w:val="auto"/>
              <w:rPr>
                <w:rFonts w:hint="eastAsia"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</w:rPr>
              <w:t>2023年，学校全面贯彻党和国家教育方针，</w:t>
            </w:r>
            <w:r>
              <w:rPr>
                <w:rFonts w:hint="eastAsia" w:ascii="宋体" w:hAnsi="宋体" w:eastAsia="宋体" w:cs="宋体"/>
                <w:kern w:val="2"/>
                <w:sz w:val="11"/>
                <w:szCs w:val="11"/>
              </w:rPr>
              <w:t>紧扣“教育提质”主题，坚持融合推动“生命教育”、弘扬“兰亭文化”、传承“行知精神”三大办学主张，</w:t>
            </w:r>
            <w:r>
              <w:rPr>
                <w:rFonts w:hint="eastAsia" w:ascii="宋体" w:hAnsi="宋体" w:eastAsia="宋体" w:cs="宋体"/>
                <w:kern w:val="0"/>
                <w:sz w:val="11"/>
                <w:szCs w:val="11"/>
              </w:rPr>
              <w:t>全面实施素质教育，推动学校蓬勃发展。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21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kern w:val="2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11"/>
                <w:szCs w:val="11"/>
              </w:rPr>
              <w:t>（一）加强党建引领，增强管理工作绩效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601"/>
              <w:textAlignment w:val="auto"/>
              <w:rPr>
                <w:rFonts w:hint="eastAsia" w:ascii="宋体" w:hAnsi="宋体" w:eastAsia="宋体" w:cs="宋体"/>
                <w:kern w:val="2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11"/>
                <w:szCs w:val="11"/>
              </w:rPr>
              <w:t>一是坚持办学方向。认真贯彻执行党和国家的教育方针，落实党组织领导的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11"/>
                <w:szCs w:val="11"/>
              </w:rPr>
              <w:t>校长负责制。二是注重自身建设，开展干部培训，强化师德师风。</w:t>
            </w:r>
            <w:r>
              <w:rPr>
                <w:rFonts w:hint="eastAsia" w:ascii="宋体" w:hAnsi="宋体" w:eastAsia="宋体" w:cs="宋体"/>
                <w:kern w:val="2"/>
                <w:sz w:val="11"/>
                <w:szCs w:val="11"/>
              </w:rPr>
              <w:t>组织学校管理干部认真学习党和国家关于教育的政策文件，以红旭精神为抓手，强化教书育人责任担当；培养一批优秀党员，发挥党员先锋模范作用。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21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11"/>
                <w:szCs w:val="11"/>
              </w:rPr>
              <w:t>（二）践行立德树人，促进学生健康成长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161" w:firstLineChars="147"/>
              <w:textAlignment w:val="auto"/>
              <w:rPr>
                <w:rFonts w:hint="eastAsia" w:ascii="宋体" w:hAnsi="宋体" w:eastAsia="宋体" w:cs="宋体"/>
                <w:kern w:val="2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11"/>
                <w:szCs w:val="11"/>
              </w:rPr>
              <w:t>一是夯实养成教育。以建校60周年校庆活动为契机，通过“四抓”即抓重点求突破，抓活动促养成，抓检查求深化，抓典型树榜样，规范学生的良好行为习惯养成。二是优化德育队伍。通过班主任管理技能学、练、评，以项目带动，促进德育工作队伍专业能力提升。三是创建德育课程。开发劳动教育课程，设计劳动教育内容，拓展劳动教育基地，增强劳动技能。四是深化家校合作。积</w:t>
            </w:r>
            <w:r>
              <w:rPr>
                <w:rFonts w:hint="eastAsia" w:ascii="宋体" w:hAnsi="宋体" w:eastAsia="宋体" w:cs="宋体"/>
                <w:kern w:val="2"/>
                <w:sz w:val="11"/>
                <w:szCs w:val="11"/>
              </w:rPr>
              <w:t>极响应并开展“百千万”大渡教育行之教育开放日系列活动，持续开展家访活动，开放学校家庭教育咨询室，搭建家庭教育亲子班等，充分发挥家校社合力育人优势和作用。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162" w:firstLineChars="147"/>
              <w:textAlignment w:val="auto"/>
              <w:rPr>
                <w:rFonts w:hint="eastAsia" w:ascii="宋体" w:hAnsi="宋体" w:eastAsia="宋体" w:cs="宋体"/>
                <w:b/>
                <w:bCs w:val="0"/>
                <w:kern w:val="2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11"/>
                <w:szCs w:val="11"/>
              </w:rPr>
              <w:t>（三）深化教学改革，激活课堂教学活力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11"/>
                <w:szCs w:val="11"/>
              </w:rPr>
              <w:t>1.推进课堂教学改革。实施“三层四段导师制培养模式”，提升业务水平；开展新课标导向下的教学实践，组织指导全体教师有效备课，着力构建生命课堂注重教学教研，力求构建教、学、评一体化，增强课堂教学效率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11"/>
                <w:szCs w:val="11"/>
              </w:rPr>
              <w:t>2.扎实开展课题研究。对学校28个申请和结题的市区级规划课题审读、修改、把关，不断提高了我校科学教师对课程思政的理解和实施能力。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20" w:firstLineChars="200"/>
              <w:textAlignment w:val="auto"/>
              <w:rPr>
                <w:rFonts w:hint="eastAsia" w:ascii="宋体" w:hAnsi="宋体" w:eastAsia="宋体" w:cs="宋体"/>
                <w:kern w:val="2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11"/>
                <w:szCs w:val="11"/>
              </w:rPr>
              <w:t>3.提高延时服务质量。</w:t>
            </w:r>
            <w:r>
              <w:rPr>
                <w:rFonts w:hint="eastAsia" w:ascii="宋体" w:hAnsi="宋体" w:eastAsia="宋体" w:cs="宋体"/>
                <w:kern w:val="2"/>
                <w:sz w:val="11"/>
                <w:szCs w:val="11"/>
              </w:rPr>
              <w:t>引入“飞象双师课堂”作为课后服务特色课程资源的补充，优化了课后服务的课程建设，丰富了课后服务的内容，充分发挥了跨学科学习，更好地落实了“七个一”工程和“双减”政策。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21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kern w:val="2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11"/>
                <w:szCs w:val="11"/>
              </w:rPr>
              <w:t>（四）做优特色品牌，推动学校特色发展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20" w:firstLineChars="200"/>
              <w:textAlignment w:val="auto"/>
              <w:rPr>
                <w:rFonts w:hint="eastAsia" w:ascii="宋体" w:hAnsi="宋体" w:eastAsia="宋体" w:cs="宋体"/>
                <w:kern w:val="2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kern w:val="2"/>
                <w:sz w:val="11"/>
                <w:szCs w:val="11"/>
              </w:rPr>
              <w:t>继续打造“童心圆”精品艺术社团，形成艺术品牌；继续探索学校“兰亭书社”书法艺术工作坊以及美术义渡童心创意坊、渝派连环画、花泥糊巧工作坊建设；抓住国家高素质体育后备人才基地建设契机，建好田径队、篮球队、乒乓球校队、羽毛球校队、射箭校队，提升体育舞蹈（拉丁）档位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18" w:firstLineChars="197"/>
              <w:textAlignment w:val="auto"/>
              <w:rPr>
                <w:rFonts w:hint="eastAsia" w:ascii="宋体" w:hAnsi="宋体" w:eastAsia="宋体" w:cs="宋体"/>
                <w:kern w:val="2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11"/>
                <w:szCs w:val="11"/>
              </w:rPr>
              <w:t xml:space="preserve">（五）推进合作交流，拓展学校教育视野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11"/>
                <w:szCs w:val="11"/>
              </w:rPr>
              <w:t>集团内主要抓好两项工作，一是推行五大行动，实施“理念协同、课程协同、教师协同、管理协同、项目协同”等五大协同，遵循共同愿景，实现“和而不同”；二是落实合作项目，通过“古道联盟”“凯美乡村振兴项目”实施，切实提升帮扶学校学科教学质量的稳步提升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20" w:firstLineChars="200"/>
              <w:textAlignment w:val="auto"/>
              <w:rPr>
                <w:rFonts w:hint="eastAsia"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11"/>
                <w:szCs w:val="11"/>
              </w:rPr>
              <w:t>集团外主要加强与上海市黄浦区卢湾一中心小学的合作，同时开展教育国际交流，寻求合作伙伴</w:t>
            </w:r>
            <w:r>
              <w:rPr>
                <w:rFonts w:hint="eastAsia" w:ascii="宋体" w:hAnsi="宋体" w:eastAsia="宋体" w:cs="宋体"/>
                <w:kern w:val="2"/>
                <w:sz w:val="11"/>
                <w:szCs w:val="1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166" w:firstLineChars="150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1"/>
                <w:szCs w:val="11"/>
              </w:rPr>
              <w:t>（六）抓好后勤服务，确保学校安全稳定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20" w:firstLineChars="200"/>
              <w:textAlignment w:val="auto"/>
              <w:rPr>
                <w:rFonts w:hint="eastAsia"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</w:rPr>
              <w:t xml:space="preserve">    建立健全后勤安保机制，完善总务及安全管理制度，建立稳定的后勤安保队伍，在设施设备、物资配备、维修维护、财务管理、食堂卫生等方面服务到位，确保师生生命安全。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20" w:firstLineChars="200"/>
              <w:textAlignment w:val="auto"/>
              <w:rPr>
                <w:rFonts w:hint="eastAsia" w:ascii="宋体" w:hAnsi="宋体" w:eastAsia="宋体" w:cs="宋体"/>
                <w:kern w:val="0"/>
                <w:sz w:val="11"/>
                <w:szCs w:val="1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21" w:firstLineChars="200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1"/>
                <w:szCs w:val="11"/>
              </w:rPr>
              <w:t>下一步工作安排：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21" w:firstLineChars="200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1"/>
                <w:szCs w:val="1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20" w:firstLineChars="200"/>
              <w:textAlignment w:val="auto"/>
              <w:rPr>
                <w:rFonts w:hint="eastAsia" w:ascii="宋体" w:hAnsi="宋体" w:eastAsia="宋体" w:cs="宋体"/>
                <w:kern w:val="2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kern w:val="2"/>
                <w:sz w:val="11"/>
                <w:szCs w:val="11"/>
              </w:rPr>
              <w:t>1.探索“新课标”如何不变成“旧实践”。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160" w:lineRule="exact"/>
              <w:ind w:left="0" w:firstLine="220" w:firstLineChars="200"/>
              <w:textAlignment w:val="auto"/>
              <w:rPr>
                <w:rFonts w:hint="eastAsia" w:ascii="宋体" w:hAnsi="宋体" w:eastAsia="宋体" w:cs="宋体"/>
                <w:kern w:val="2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kern w:val="2"/>
                <w:sz w:val="11"/>
                <w:szCs w:val="11"/>
              </w:rPr>
              <w:t>2.加强新教师的“督”与“导”。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00" w:lineRule="exact"/>
              <w:ind w:left="0" w:firstLine="220" w:firstLineChars="200"/>
              <w:textAlignment w:val="auto"/>
              <w:rPr>
                <w:rFonts w:hint="default" w:ascii="Times New Roman" w:hAnsi="Times New Roman" w:eastAsia="宋体" w:cs="Times New Roman"/>
                <w:kern w:val="2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kern w:val="2"/>
                <w:sz w:val="11"/>
                <w:szCs w:val="11"/>
              </w:rPr>
              <w:t>3.促进集团各校区间的平衡与发展。</w:t>
            </w:r>
          </w:p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3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相关资质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认可或执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业许可证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明文件及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有效期</w:t>
            </w:r>
          </w:p>
        </w:tc>
        <w:tc>
          <w:tcPr>
            <w:tcW w:w="84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绩</w:t>
            </w:r>
            <w:r>
              <w:rPr>
                <w:rStyle w:val="26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效</w:t>
            </w:r>
            <w:r>
              <w:rPr>
                <w:rStyle w:val="26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和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受奖惩及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诉讼投诉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情</w:t>
            </w:r>
            <w:r>
              <w:rPr>
                <w:rStyle w:val="26"/>
                <w:rFonts w:hint="default" w:ascii="Times New Roman" w:hAnsi="Times New Roman" w:eastAsia="楷体_GB2312" w:cs="楷体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况</w:t>
            </w:r>
          </w:p>
        </w:tc>
        <w:tc>
          <w:tcPr>
            <w:tcW w:w="84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line="300" w:lineRule="exact"/>
              <w:rPr>
                <w:rFonts w:hint="eastAsia" w:ascii="华文楷体" w:hAnsi="华文楷体" w:eastAsia="华文楷体" w:cs="华文楷体"/>
                <w:kern w:val="2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2"/>
                <w:sz w:val="24"/>
                <w:szCs w:val="24"/>
              </w:rPr>
              <w:t>1.荣获“重庆市绿色学校”称号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line="300" w:lineRule="exact"/>
              <w:rPr>
                <w:rFonts w:hint="eastAsia" w:ascii="华文楷体" w:hAnsi="华文楷体" w:eastAsia="华文楷体" w:cs="华文楷体"/>
                <w:kern w:val="2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2"/>
                <w:sz w:val="24"/>
                <w:szCs w:val="24"/>
              </w:rPr>
              <w:t>2.荣获“重庆市书法艺术教育示范学校”称号；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line="300" w:lineRule="exact"/>
              <w:rPr>
                <w:rFonts w:hint="eastAsia" w:ascii="华文楷体" w:hAnsi="华文楷体" w:eastAsia="华文楷体" w:cs="华文楷体"/>
                <w:kern w:val="2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2"/>
                <w:sz w:val="24"/>
                <w:szCs w:val="24"/>
              </w:rPr>
              <w:t>3.荣获“重庆市研学旅行先进学校”称号；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line="300" w:lineRule="exact"/>
              <w:rPr>
                <w:rFonts w:hint="eastAsia" w:ascii="华文楷体" w:hAnsi="华文楷体" w:eastAsia="华文楷体" w:cs="华文楷体"/>
                <w:kern w:val="2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2"/>
                <w:sz w:val="24"/>
                <w:szCs w:val="24"/>
              </w:rPr>
              <w:t>4.被命名为“重庆市教育国际交流协会艺术分会  理事单位”；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line="300" w:lineRule="exact"/>
              <w:rPr>
                <w:rFonts w:hint="eastAsia" w:ascii="华文楷体" w:hAnsi="华文楷体" w:eastAsia="华文楷体" w:cs="华文楷体"/>
                <w:kern w:val="2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2"/>
                <w:sz w:val="24"/>
                <w:szCs w:val="24"/>
              </w:rPr>
              <w:t>5.荣获“重庆市首届数学文化节  优秀组织奖”；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line="300" w:lineRule="exact"/>
              <w:rPr>
                <w:rFonts w:hint="eastAsia" w:ascii="华文楷体" w:hAnsi="华文楷体" w:eastAsia="华文楷体" w:cs="华文楷体"/>
                <w:kern w:val="2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2"/>
                <w:sz w:val="24"/>
                <w:szCs w:val="24"/>
              </w:rPr>
              <w:t>6.荣获“第九届‘中华文化小大使’文化艺术展示活动（合唱类全国总展示） 九州奖”</w:t>
            </w:r>
          </w:p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3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接受捐赠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资助及其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Style w:val="26"/>
                <w:rFonts w:hint="default" w:ascii="楷体_GB2312" w:hAnsi="Times New Roman" w:eastAsia="楷体_GB2312" w:cs="楷体_GB2312"/>
                <w:b/>
                <w:bCs/>
                <w:sz w:val="32"/>
                <w:szCs w:val="32"/>
              </w:rPr>
              <w:t>使用情况</w:t>
            </w:r>
          </w:p>
        </w:tc>
        <w:tc>
          <w:tcPr>
            <w:tcW w:w="84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>
            <w:pPr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</w:rPr>
              <w:t>无</w:t>
            </w:r>
          </w:p>
        </w:tc>
      </w:tr>
    </w:tbl>
    <w:p>
      <w:pPr>
        <w:jc w:val="left"/>
        <w:rPr>
          <w:rFonts w:hint="default" w:ascii="楷体_GB2312" w:hAnsi="Times New Roman" w:eastAsia="楷体_GB2312" w:cs="楷体_GB2312"/>
          <w:b/>
          <w:bCs/>
          <w:kern w:val="2"/>
          <w:sz w:val="18"/>
          <w:szCs w:val="18"/>
        </w:rPr>
      </w:pPr>
    </w:p>
    <w:sectPr>
      <w:pgSz w:w="11906" w:h="16838"/>
      <w:pgMar w:top="1440" w:right="1135" w:bottom="1440" w:left="1135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isplayBackgroundShape w:val="1"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noPunctuationKerning w:val="1"/>
  <w:characterSpacingControl w:val="compressPunctuation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xYjkxM2E3ZjFlZDQxYmQ3ODgzOTQxMzViNDgyODIifQ=="/>
  </w:docVars>
  <w:rsids>
    <w:rsidRoot w:val="00000000"/>
    <w:rsid w:val="08815FA5"/>
    <w:rsid w:val="1E5A278B"/>
    <w:rsid w:val="2A072C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1"/>
      <w:szCs w:val="21"/>
      <w:lang w:val="en-US" w:eastAsia="zh-CN" w:bidi="ar"/>
    </w:rPr>
  </w:style>
  <w:style w:type="paragraph" w:styleId="2">
    <w:name w:val="heading 1"/>
    <w:basedOn w:val="1"/>
    <w:next w:val="1"/>
    <w:autoRedefine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autoRedefine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autoRedefine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autoRedefine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99"/>
  </w:style>
  <w:style w:type="table" w:default="1" w:styleId="11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autoRedefine/>
    <w:qFormat/>
    <w:uiPriority w:val="0"/>
    <w:pPr>
      <w:keepNext w:val="0"/>
      <w:keepLines w:val="0"/>
      <w:widowControl w:val="0"/>
      <w:suppressLineNumbers w:val="0"/>
      <w:snapToGrid w:val="0"/>
      <w:spacing w:before="0" w:beforeAutospacing="0" w:after="0" w:afterAutospacing="0"/>
      <w:ind w:left="0" w:right="0"/>
      <w:jc w:val="left"/>
    </w:pPr>
    <w:rPr>
      <w:rFonts w:hint="default" w:ascii="Times New Roman" w:hAnsi="Times New Roman" w:eastAsia="宋体" w:cs="Times New Roman"/>
      <w:kern w:val="2"/>
      <w:sz w:val="18"/>
      <w:szCs w:val="18"/>
      <w:lang w:val="en-US" w:eastAsia="zh-CN" w:bidi="ar"/>
    </w:rPr>
  </w:style>
  <w:style w:type="paragraph" w:styleId="9">
    <w:name w:val="HTML Preformatted"/>
    <w:basedOn w:val="1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autoRedefine/>
    <w:qFormat/>
    <w:uiPriority w:val="0"/>
    <w:pPr>
      <w:widowControl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3">
    <w:name w:val="16"/>
    <w:basedOn w:val="12"/>
    <w:autoRedefine/>
    <w:qFormat/>
    <w:uiPriority w:val="0"/>
    <w:rPr>
      <w:rFonts w:hint="eastAsia" w:ascii="黑体" w:hAnsi="宋体" w:eastAsia="黑体" w:cs="黑体"/>
      <w:sz w:val="36"/>
      <w:szCs w:val="36"/>
    </w:rPr>
  </w:style>
  <w:style w:type="paragraph" w:customStyle="1" w:styleId="14">
    <w:name w:val="font7"/>
    <w:basedOn w:val="1"/>
    <w:autoRedefine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Times New Roman" w:hAnsi="宋体" w:eastAsia="楷体_GB2312" w:cs="楷体_GB2312"/>
      <w:kern w:val="0"/>
      <w:sz w:val="28"/>
      <w:szCs w:val="28"/>
      <w:lang w:val="en-US" w:eastAsia="zh-CN" w:bidi="ar"/>
    </w:rPr>
  </w:style>
  <w:style w:type="character" w:customStyle="1" w:styleId="15">
    <w:name w:val="23"/>
    <w:basedOn w:val="12"/>
    <w:autoRedefine/>
    <w:qFormat/>
    <w:uiPriority w:val="0"/>
    <w:rPr>
      <w:rFonts w:hint="default" w:ascii="Times New Roman" w:hAnsi="Times New Roman" w:eastAsia="楷体_GB2312" w:cs="Times New Roman"/>
      <w:sz w:val="28"/>
      <w:szCs w:val="28"/>
    </w:rPr>
  </w:style>
  <w:style w:type="character" w:customStyle="1" w:styleId="16">
    <w:name w:val="24"/>
    <w:basedOn w:val="12"/>
    <w:qFormat/>
    <w:uiPriority w:val="0"/>
    <w:rPr>
      <w:rFonts w:hint="default" w:ascii="Times New Roman" w:hAnsi="Times New Roman" w:eastAsia="楷体_GB2312" w:cs="Times New Roman"/>
      <w:sz w:val="28"/>
      <w:szCs w:val="28"/>
    </w:rPr>
  </w:style>
  <w:style w:type="paragraph" w:customStyle="1" w:styleId="17">
    <w:name w:val="font4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楷体_GB2312" w:cs="宋体"/>
      <w:spacing w:val="30"/>
      <w:kern w:val="0"/>
      <w:sz w:val="36"/>
      <w:szCs w:val="36"/>
      <w:lang w:val="en-US" w:eastAsia="zh-CN" w:bidi="ar"/>
    </w:rPr>
  </w:style>
  <w:style w:type="paragraph" w:customStyle="1" w:styleId="18">
    <w:name w:val="font2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Times New Roman" w:hAnsi="宋体" w:eastAsia="楷体_GB2312" w:cs="楷体_GB2312"/>
      <w:kern w:val="0"/>
      <w:sz w:val="30"/>
      <w:szCs w:val="30"/>
      <w:lang w:val="en-US" w:eastAsia="zh-CN" w:bidi="ar"/>
    </w:rPr>
  </w:style>
  <w:style w:type="paragraph" w:customStyle="1" w:styleId="19">
    <w:name w:val="普通(网站) Char"/>
    <w:basedOn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20">
    <w:name w:val="19"/>
    <w:basedOn w:val="12"/>
    <w:qFormat/>
    <w:uiPriority w:val="0"/>
    <w:rPr>
      <w:rFonts w:hint="default" w:ascii="Times New Roman" w:hAnsi="Times New Roman" w:eastAsia="楷体_GB2312" w:cs="Times New Roman"/>
      <w:sz w:val="30"/>
      <w:szCs w:val="30"/>
    </w:rPr>
  </w:style>
  <w:style w:type="character" w:customStyle="1" w:styleId="21">
    <w:name w:val="10"/>
    <w:basedOn w:val="12"/>
    <w:qFormat/>
    <w:uiPriority w:val="0"/>
    <w:rPr>
      <w:rFonts w:hint="default" w:ascii="Times New Roman" w:hAnsi="Times New Roman" w:cs="Times New Roman"/>
    </w:rPr>
  </w:style>
  <w:style w:type="character" w:customStyle="1" w:styleId="22">
    <w:name w:val="15"/>
    <w:basedOn w:val="12"/>
    <w:qFormat/>
    <w:uiPriority w:val="0"/>
    <w:rPr>
      <w:rFonts w:hint="default" w:ascii="Times New Roman" w:hAnsi="Times New Roman" w:eastAsia="仿宋_GB2312" w:cs="Times New Roman"/>
      <w:sz w:val="30"/>
      <w:szCs w:val="30"/>
    </w:rPr>
  </w:style>
  <w:style w:type="character" w:customStyle="1" w:styleId="23">
    <w:name w:val="17"/>
    <w:basedOn w:val="12"/>
    <w:qFormat/>
    <w:uiPriority w:val="0"/>
    <w:rPr>
      <w:rFonts w:hint="default" w:ascii="Times New Roman" w:eastAsia="楷体_GB2312" w:cs="楷体_GB2312"/>
      <w:sz w:val="30"/>
      <w:szCs w:val="30"/>
    </w:rPr>
  </w:style>
  <w:style w:type="character" w:customStyle="1" w:styleId="24">
    <w:name w:val="18"/>
    <w:basedOn w:val="12"/>
    <w:qFormat/>
    <w:uiPriority w:val="0"/>
    <w:rPr>
      <w:rFonts w:hint="eastAsia" w:ascii="Times New Roman" w:hAnsi="宋体" w:eastAsia="黑体" w:cs="黑体"/>
      <w:spacing w:val="40"/>
      <w:sz w:val="52"/>
      <w:szCs w:val="52"/>
    </w:rPr>
  </w:style>
  <w:style w:type="character" w:customStyle="1" w:styleId="25">
    <w:name w:val="20"/>
    <w:basedOn w:val="12"/>
    <w:qFormat/>
    <w:uiPriority w:val="0"/>
    <w:rPr>
      <w:rFonts w:hint="default" w:ascii="Times New Roman" w:hAnsi="Times New Roman" w:eastAsia="楷体_GB2312" w:cs="Times New Roman"/>
      <w:spacing w:val="30"/>
      <w:sz w:val="36"/>
      <w:szCs w:val="36"/>
    </w:rPr>
  </w:style>
  <w:style w:type="character" w:customStyle="1" w:styleId="26">
    <w:name w:val="21"/>
    <w:basedOn w:val="12"/>
    <w:qFormat/>
    <w:uiPriority w:val="0"/>
    <w:rPr>
      <w:rFonts w:hint="default" w:ascii="Times New Roman" w:eastAsia="楷体_GB2312" w:cs="楷体_GB2312"/>
      <w:sz w:val="32"/>
      <w:szCs w:val="32"/>
    </w:rPr>
  </w:style>
  <w:style w:type="character" w:customStyle="1" w:styleId="27">
    <w:name w:val="22"/>
    <w:basedOn w:val="12"/>
    <w:qFormat/>
    <w:uiPriority w:val="0"/>
    <w:rPr>
      <w:rFonts w:hint="default" w:ascii="Times New Roman" w:eastAsia="楷体_GB2312" w:cs="楷体_GB2312"/>
      <w:sz w:val="28"/>
      <w:szCs w:val="28"/>
    </w:rPr>
  </w:style>
  <w:style w:type="paragraph" w:customStyle="1" w:styleId="28">
    <w:name w:val="font6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Times New Roman" w:hAnsi="宋体" w:eastAsia="楷体_GB2312" w:cs="楷体_GB2312"/>
      <w:kern w:val="0"/>
      <w:sz w:val="32"/>
      <w:szCs w:val="32"/>
      <w:lang w:val="en-US" w:eastAsia="zh-CN" w:bidi="ar"/>
    </w:rPr>
  </w:style>
  <w:style w:type="paragraph" w:customStyle="1" w:styleId="29">
    <w:name w:val="HTML 预设格式 Char"/>
    <w:basedOn w:val="1"/>
    <w:qFormat/>
    <w:uiPriority w:val="0"/>
    <w:pPr>
      <w:keepNext w:val="0"/>
      <w:keepLines w:val="0"/>
      <w:widowControl/>
      <w:suppressLineNumbers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30">
    <w:name w:val="font5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黑体" w:hAnsi="宋体" w:eastAsia="黑体" w:cs="黑体"/>
      <w:kern w:val="0"/>
      <w:sz w:val="36"/>
      <w:szCs w:val="36"/>
      <w:lang w:val="en-US" w:eastAsia="zh-CN" w:bidi="ar"/>
    </w:rPr>
  </w:style>
  <w:style w:type="paragraph" w:customStyle="1" w:styleId="31">
    <w:name w:val="font8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Times New Roman" w:hAnsi="宋体" w:eastAsia="楷体_GB2312" w:cs="楷体_GB2312"/>
      <w:kern w:val="0"/>
      <w:sz w:val="24"/>
      <w:szCs w:val="24"/>
      <w:lang w:val="en-US" w:eastAsia="zh-CN" w:bidi="ar"/>
    </w:rPr>
  </w:style>
  <w:style w:type="paragraph" w:customStyle="1" w:styleId="32">
    <w:name w:val="font3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Times New Roman" w:hAnsi="宋体" w:eastAsia="黑体" w:cs="黑体"/>
      <w:spacing w:val="40"/>
      <w:kern w:val="0"/>
      <w:sz w:val="52"/>
      <w:szCs w:val="52"/>
      <w:lang w:val="en-US" w:eastAsia="zh-CN" w:bidi="ar"/>
    </w:rPr>
  </w:style>
  <w:style w:type="paragraph" w:customStyle="1" w:styleId="33">
    <w:name w:val="font1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仿宋_GB2312" w:cs="宋体"/>
      <w:kern w:val="0"/>
      <w:sz w:val="30"/>
      <w:szCs w:val="3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Lines>1</Lines>
  <Paragraphs>1</Paragraphs>
  <TotalTime>4</TotalTime>
  <ScaleCrop>false</ScaleCrop>
  <LinksUpToDate>false</LinksUpToDate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2024-03-01T04:06:00Z</dcterms:created>
  <dc:creator>Administrator</dc:creator>
  <cp:lastModifiedBy>邱智刚</cp:lastModifiedBy>
  <dcterms:modified xsi:type="dcterms:W3CDTF">2024-03-13T08:49:44Z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7AC754D666814201953CFAAD0D3AF348_13</vt:lpwstr>
  </property>
</Properties>
</file>